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45" w:rsidRPr="00C54445" w:rsidRDefault="00C54445" w:rsidP="00C544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</w:rPr>
        <w:t>Доклад</w:t>
      </w:r>
    </w:p>
    <w:p w:rsidR="00C54445" w:rsidRPr="00C54445" w:rsidRDefault="00C54445" w:rsidP="00C544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Главы Администрации </w:t>
      </w:r>
      <w:proofErr w:type="spellStart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районного муниципального образования  Республики Калмыкия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 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 «О достигнутых значениях показателей для оценки  эффективности  деятельности органов местного самоуправления городского округа,  районного </w:t>
      </w:r>
      <w:r>
        <w:rPr>
          <w:rFonts w:ascii="Times New Roman" w:eastAsia="Times New Roman" w:hAnsi="Times New Roman" w:cs="Times New Roman"/>
          <w:color w:val="483B3F"/>
          <w:sz w:val="28"/>
          <w:szCs w:val="28"/>
        </w:rPr>
        <w:t>м</w:t>
      </w: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униципального  образования за 2020 год и их планируемых значениях на 3-летний период»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0"/>
      </w:tblGrid>
      <w:tr w:rsidR="00C54445" w:rsidRPr="00C54445" w:rsidTr="00C54445">
        <w:tc>
          <w:tcPr>
            <w:tcW w:w="9570" w:type="dxa"/>
            <w:shd w:val="clear" w:color="auto" w:fill="FFFFFF"/>
            <w:vAlign w:val="center"/>
            <w:hideMark/>
          </w:tcPr>
          <w:p w:rsidR="00C54445" w:rsidRPr="00C54445" w:rsidRDefault="00C54445" w:rsidP="00C5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C5444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Очиров Геннадий Геннадьевич – Глава Администрации</w:t>
            </w:r>
          </w:p>
        </w:tc>
      </w:tr>
      <w:tr w:rsidR="00C54445" w:rsidRPr="00C54445" w:rsidTr="00C54445">
        <w:tc>
          <w:tcPr>
            <w:tcW w:w="9570" w:type="dxa"/>
            <w:shd w:val="clear" w:color="auto" w:fill="FFFFFF"/>
            <w:vAlign w:val="center"/>
            <w:hideMark/>
          </w:tcPr>
          <w:p w:rsidR="00C54445" w:rsidRPr="00C54445" w:rsidRDefault="00C54445" w:rsidP="00C5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proofErr w:type="gramStart"/>
            <w:r w:rsidRPr="00C5444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(фамилия, имя, отчество главы администрации районного муниципального образования/городского </w:t>
            </w:r>
            <w:proofErr w:type="spellStart"/>
            <w:r w:rsidRPr="00C5444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округаЮстинского</w:t>
            </w:r>
            <w:proofErr w:type="spellEnd"/>
            <w:r w:rsidRPr="00C5444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 районного муниципального образования Республики Калмыкия</w:t>
            </w:r>
            <w:proofErr w:type="gramEnd"/>
          </w:p>
        </w:tc>
      </w:tr>
    </w:tbl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наименование районного муниципального образования/городского округа)  ________________________                                                                                         (подпись)                                                                                     « 30 » апреля 2021 г.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 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 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Доклад Главы Администрации </w:t>
      </w:r>
      <w:proofErr w:type="spellStart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районного муниципального образования Республики Калмыкия размещен в сети «Интернет» по адресу: </w:t>
      </w:r>
      <w:proofErr w:type="spellStart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www.юстинский-район</w:t>
      </w:r>
      <w:proofErr w:type="gramStart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.р</w:t>
      </w:r>
      <w:proofErr w:type="gramEnd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ф</w:t>
      </w:r>
      <w:proofErr w:type="spellEnd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, раздел: «Администрация», подраздел: «Тексты официальных выступлений и заявлений».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 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</w:rPr>
        <w:t>Экономическое развитие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 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В </w:t>
      </w:r>
      <w:proofErr w:type="spellStart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Юстинском</w:t>
      </w:r>
      <w:proofErr w:type="spellEnd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районе за период январь-декабрь 2020 года отгружено товаров собственного производства, выполнено работ и услуг по организациям, не относящимся к субъектам малого предпринимательства, и оборот составил в сумме 243,3 млн. рублей, что составляет 157,7 процентов к соответствующему периоду прошлого года.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proofErr w:type="gramStart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Общая земельная площадь </w:t>
      </w:r>
      <w:proofErr w:type="spellStart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района составляет 799,6 тыс. га, из них сельскохозяйственных  угодий 791,1 тыс. га, в том числе: пастбища – 747,7 тыс. га, сенокосы – 2,5 тыс. га, пашни - 4,7 тыс. га.</w:t>
      </w:r>
      <w:proofErr w:type="gramEnd"/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На территории района осуществляют деятельность 6 сельхозпредприятий,  202 крестьянских (фермерских) хозяйств, 1346 личных подсобных хозяйств.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Численность скота в сельхозпредприятиях на 1 января 2021 года составила: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КРС – 206 голов или 116,4 процента к соответствующему периоду прошлого года, в том числе коров – 35 голов или 120,7 процента,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lastRenderedPageBreak/>
        <w:t>овец –67319 голов или 104,8 процента к соответствующему периоду прошлого года, том числе овцематок –43865 голов или 98,3 процента к соответствующему периоду прошлого года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лошадей –4102 голов или 98,3 процента к соответствующему периоду прошлого года, том числе конематок –1895 голов или 93,5 процента соответствующему периоду прошлого года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верблюдов –469 голов или 107,3 процентов к соответствующему периоду прошлого года.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proofErr w:type="gramStart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В январе - декабре 2020года в хозяйствах всех категорий произведено скота и птицы на убой в живом весе – 13859,9 тонн или 98,9 процента к соответствующему периоду прошлого года, в том числе сельскохозяйственными организациями – 1130,3 тонн или 105 процентов к предыдущему году, молока – 1668,6 тонн или 90,5 процентов к соответствующему периоду прошлого года, яиц – 7,0 тыс. штук.</w:t>
      </w:r>
      <w:proofErr w:type="gramEnd"/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Сельхозпредприятиями района в 2020 году реализовано продукции сельского хозяйства на сумму 115,5 млн. руб. или 82,2 процента к аналогичному периоду прошлого года (АППГ).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Предпринимателей без образования юридического лица, прошедших государственную регистрацию - 309 человек, что на 9 человек меньше, чем было в 2019 году, из них число предпринимателей – глав </w:t>
      </w:r>
      <w:proofErr w:type="gramStart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К(</w:t>
      </w:r>
      <w:proofErr w:type="gramEnd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Ф)Х – 202 человека и составляет 65,4 процента от общего числа зарегистрированных предпринимателей по району.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Показатель числа субъектов малого и среднего предпринимательства в расчете на 10 тыс. человек населения, по сплошному наблюдению за деятельностью субъектов малого и среднего предпринимательства, по итогам сплошного наблюдения за 2015 год составило 345 единиц и прогнозируется ро</w:t>
      </w:r>
      <w:proofErr w:type="gramStart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ст к  20</w:t>
      </w:r>
      <w:proofErr w:type="gramEnd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23 году до 350 единиц.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по району в соответствии показателя за 2015 год составил 25,0 процентов.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Показатели </w:t>
      </w:r>
      <w:proofErr w:type="spellStart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пп</w:t>
      </w:r>
      <w:proofErr w:type="spellEnd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. 1-2 рассчитываются один раз в пять лет на основании данных сплошного наблюдения за деятельностью субъектов малого и среднего предпринимательства. За отчетный период отражены показатели 2015 года, в виду отсутствия информации по переписи  данных сплошного наблюдения за деятельностью субъектов малого и среднего предпринимательства за 2020 год.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 Объем инвестиций в основной капитал (за исключением бюджетных средств) в расчете на 1 жителя по району за отчетный период составил 98659 рублей, наблюдается значительный  рост показателя  к соответствующему периоду прошлого года на 94032 рубля. Увеличение объема инвестиций произошло за счет реализации инвестиционных проектов привлечения внебюджетных источников (средств инвесторов).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lastRenderedPageBreak/>
        <w:t xml:space="preserve">Доля площади земельных участков, являющихся объектами налогообложения земельным налогом, в общей площади территории </w:t>
      </w:r>
      <w:proofErr w:type="spellStart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  района, за отчетный период составила 10,6 процентов. Увеличение площади земельных участков, являющихся объектами налогообложения земельным налогом, в прогнозном периоде не предвидится.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Все 7 (семь) сельских муниципальных образования </w:t>
      </w:r>
      <w:proofErr w:type="spellStart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района  имеют средний потенциал развития и имеют реальные перспективы для дальнейшего развития собственной доходной базы.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Общее число сельскохозяйственных организаций по </w:t>
      </w:r>
      <w:proofErr w:type="spellStart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Юстинскому</w:t>
      </w:r>
      <w:proofErr w:type="spellEnd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районному муниципальному образованию Республики Калмыкия за отчетный период составляет 6 единиц, из них число прибыльных предприятий 2 или 33,3 процента. Снижение доли прибыльных сельскохозяйственных организаций обусловлено резким снижением выручки от реализации продукции работ и услуг в 2020 году по сравнению с 2019 годом на 49 процентов и связано с неблагоприятными климатическими условиями,  которые сопровождались засушливым периодом на территории района.  В прогнозном периоде планируется достичь доли прибыльных хозяйств до 100 процентов.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по </w:t>
      </w:r>
      <w:proofErr w:type="spellStart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Юстинскому</w:t>
      </w:r>
      <w:proofErr w:type="spellEnd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району за отчетный период составляет 89,1 процента. По оценке 2021 года и в прогнозном периоде 2022-2023 годах планируется снижение показателя до 88,8 процентов.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В </w:t>
      </w:r>
      <w:proofErr w:type="spellStart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Юстинском</w:t>
      </w:r>
      <w:proofErr w:type="spellEnd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районном муниципальном образовании Республики Калмыкия между населенными пунктами развита сеть дорог с асфальтным и щебеночным покрытием. Протяженность автомобильных дорог составляет 324,821 км, в том числе федерального значения 12 км, регионального значения 104 км, местного значения 208,821 км.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proofErr w:type="gramStart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Показатель «Доля населения, проживающего в населенных пунктах, не имеющих регулярного  автобусного и (или) железнодорожного сообщения с административным центром городского округа (муниципального района), в общей численности населения  городского округа (муниципального района)» в отчетном году за счет сохранения маршрутной сети составляет 18,5 процента, данный уровень сохранится в текущем году и на прогнозный период.</w:t>
      </w:r>
      <w:proofErr w:type="gramEnd"/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В 2020 году среднемесячная номинальная  начисленная заработная плата одного работника в крупных и средних предприятиях в районе составила 26142,8 рублей. В прогнозном периоде предусмотрено увеличение среднемесячной заработной платы по сравнению с предыдущим годом: в 2021 г. – 27449,9 рублей, в 2022 г. – 28822,4 рублей, в 2023 г. – 30263,5 рублей.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Среднемесячная номинально начисленная заработная плата в муниципальных дошкольных образовательных учреждениях </w:t>
      </w:r>
      <w:proofErr w:type="spellStart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района за 2020 год составила 17547,1 рублей. Плановая номинально начисленная средняя заработная </w:t>
      </w: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lastRenderedPageBreak/>
        <w:t>плата за 2021 г. составит 18424,0 рубля. В прогнозном периоде: в 2022 г. – 19345,0 рублей, в 2023 г. – 20312,0 рублей.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Среднемесячная номинально начисленная заработная плата в муниципальных общеобразовательных учреждениях за 2020 год составила 25854,3 рублей. Плановая номинально начисленная средняя заработная плата за 2021 г. составит 27147,0 рублей. В прогнозном периоде:  в 2022 г. – 28504,0 рубля, в 2023 г. предусмотрено увеличение по сравнению с предыдущим годом -29929 рублей.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Среднемесячная номинально начисленная заработная плата учителей в муниципальных общеобразовательных учреждениях за 2020 год составила 29308,0 рублей или 112,2 процента к АППГ. Плановая номинально начисленная средняя заработная плата за 2021 г. составит 30773,0 рубля. В прогнозном периоде: в 2022 г. – 32312,0 рублей, в 2023 г. предусмотрено увеличение по сравнению с предыдущим годом – 33927,0 рублей.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У работников муниципальных учреждений культуры за 2020 год среднемесячная номинально начисленная заработная плата составила 28164,8 рублей. Плановая номинально начисленная средняя заработная плата на 2021 г. составит 29573,0 рублей и достигнет к 2023 году 32605,0 рублей. Максимально высокий рост заработной платы работников в сфере культуры обусловлен в рамках мероприятий, подлежащей мониторингу в соответствии с Указом Президента Российской Федерации от 7 мая 2012 г. № 597.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 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</w:rPr>
        <w:t>Дошкольное образование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 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Доля детей в возрасте 1-6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  за 2020 год составила 65,1 процента и увеличилась по сравнению с  прошлым 2019 годом на 2,3 процента. </w:t>
      </w:r>
      <w:proofErr w:type="gramStart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Численность детей посещающих дошкольное учреждение  составляет 418 человек, общая численность детей в </w:t>
      </w:r>
      <w:proofErr w:type="spellStart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Юстинском</w:t>
      </w:r>
      <w:proofErr w:type="spellEnd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районе в возрасте от 1 до 6 лет – 642 чел. В 2021 году доля составит 66,9 процентов или планируется повышение на 1,8 процента, в 2022  - 68,9 процентов, планируется повышение на 2,0 процента, в 2023  - 70 процентов, планируется повышение на 1,1 процента.</w:t>
      </w:r>
      <w:proofErr w:type="gramEnd"/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В </w:t>
      </w:r>
      <w:proofErr w:type="spellStart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Юстинском</w:t>
      </w:r>
      <w:proofErr w:type="spellEnd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районе очередность детей в возрасте 1-6 лет в учреждения дошкольного образования ликвидирована.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 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</w:rPr>
        <w:t>Общее и дополнительное образование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</w:rPr>
        <w:t> 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На территории </w:t>
      </w:r>
      <w:proofErr w:type="spellStart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района функционирует 8 учреждений общего образования и 2 учреждения  дополнительного образования. В учреждениях общего </w:t>
      </w: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lastRenderedPageBreak/>
        <w:t>образования обучаются 991 учеников, из них в 1-4 классах -413 человек, в 5-9 классах – 474 человека, в 10-11 классах – 104 человека. В учреждениях дополнительного образования занимаются 715 детей, из них в спортивных секциях – 254 человека, в объединениях по художественному творчеству – 401 человек, технического творчества – 22 человека, и в других направлениях – 38 человек.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в 2020 году составила 0 процентов (все выпускники получили аттестаты). В 2021-2023 гг. по плану данная доля выпускников составит 0 процентов.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в 2020 году составила 87,3 процента, в 2023 году доля увеличится до 88 процентов. Так из 10 школ </w:t>
      </w:r>
      <w:proofErr w:type="spellStart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района только </w:t>
      </w:r>
      <w:proofErr w:type="spellStart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Белоозерненская</w:t>
      </w:r>
      <w:proofErr w:type="spellEnd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основная образовательная школа не соответствуют современным требованиям обучения.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На 2021 год  запланирован капитальный ремонт МКОУ «</w:t>
      </w:r>
      <w:proofErr w:type="spellStart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Харбинская</w:t>
      </w:r>
      <w:proofErr w:type="spellEnd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СОШ», доля учреждений требующих ремонт в общей численности учреждений составит 12,5 процента. На 2022 год запланирован капитальный ремонт МКОУ «</w:t>
      </w:r>
      <w:proofErr w:type="spellStart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Юстинская</w:t>
      </w:r>
      <w:proofErr w:type="spellEnd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СОШ» и МКОУ «</w:t>
      </w:r>
      <w:proofErr w:type="spellStart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Цаганаманская</w:t>
      </w:r>
      <w:proofErr w:type="spellEnd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СОШ №2», доля учреждений требующих ремонт в общей численности составит 25 процентов, на 2023 года запланирован капитальный ремонт МКОУ «</w:t>
      </w:r>
      <w:proofErr w:type="spellStart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Цаганаманская</w:t>
      </w:r>
      <w:proofErr w:type="spellEnd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гимназия», доля учреждений  требующих ремонт в общей численности составит 12,5 процента.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Доля детей первой и второй групп здоровья в </w:t>
      </w:r>
      <w:proofErr w:type="gramStart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общей численности, обучающихся в муниципальных общеобразовательных учреждениях за отчетный период составила</w:t>
      </w:r>
      <w:proofErr w:type="gramEnd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79,6 процента, к 2023 году доля составит 82 процента.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В общеобразовательных учреждениях </w:t>
      </w:r>
      <w:proofErr w:type="spellStart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района нет занимающихся во вторую и третью смену.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Расходы бюджета муниципального образования на общее образование в расчете на 1 обучающегося в муниципальных общеобразовательных учреждениях в 2020 году составили 144,4 тысяч рублей. На прогнозный период 2021-2023 гг. планируется увеличение от 148,6 тысяч рублей до 157,3 тысяч рублей.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в 2020 году составила 66,6 процента. По прогнозу  на 2021-2023 гг. доля детей получающих услуги по  дополнительному  образованию в организациях различной формы планируется оставить на прежнем уровне.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 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</w:rPr>
        <w:t>Культура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lastRenderedPageBreak/>
        <w:t> 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За отчетный период уровень фактической обеспеченности учреждениями культуры от нормативной потребности по району составил: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- клубами и учреждениями клубного типа - 100 процентов;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- библиотеками – 100 процентов;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- парками культуры и отдыха – 14 процентов.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За отчетный период показатель «Доля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культуры» составил 25 процентов. В отчетном периоде 2 здания учреждений культуры находятся в аварийном состоянии, и требует капитального ремонта, в общем количестве муниципальных учреждений культуры 8 единиц. В 2021 году предусмотрена реконструкция одного здания дома культуры, и доля составит 37,5 процента.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составила 0,0 процентов.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 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</w:rPr>
        <w:t>Физическая культура и спорт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</w:rPr>
        <w:t> 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Доля населения, систематически занимающихся физической культурой и спортом по району в отчетном периоде составила 35,8 процентов. В прогнозном периоде предполагается активизировать работу по привлечению населения к систематическим занятиям физической культурой и спортом.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Доля </w:t>
      </w:r>
      <w:proofErr w:type="gramStart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обучающихся</w:t>
      </w:r>
      <w:proofErr w:type="gramEnd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, систематически занимающихся физической культурой и спортом, в общей численности, обучающихся в отчетном периоде составила 87,5 процента. В прогнозном периоде предполагается активизировать работу по привлечению молодежи к систематическим занятиям физической культурой и спортом.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 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</w:rPr>
        <w:t>Жилищное строительство и обеспечение граждан жильем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 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В отчетном периоде в </w:t>
      </w:r>
      <w:proofErr w:type="spellStart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Юстинском</w:t>
      </w:r>
      <w:proofErr w:type="spellEnd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районе введено в эксплуатацию 3 жилых дома общей площадью 663 кв. метра, что составило 138,1 процентов к соответствующему периоду прошлого года. Ввод жилья произведен за счет индивидуального жилищного строительства.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proofErr w:type="gramStart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lastRenderedPageBreak/>
        <w:t>Общая площадь жилых помещений, приходящаяся в среднем на одного жителя в 2020 году составила</w:t>
      </w:r>
      <w:proofErr w:type="gramEnd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всего 25,1 кв. метров, в том числе введенная в действие за один год в среднем на одного жителя  0,068 кв. метров.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Площадь земельных участков, предоставленных для строительства в расчете на 10 тыс. человек населения в отчетном периоде  составила  всего 1,4 га, в прогнозном периоде останется на прежнем уровне.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 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</w:rPr>
        <w:t>Жилищно-коммунальное хозяйство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 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указанными домами в отчетном периоде составляет 100 процентов.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Доля организаций коммунального комплекса, осуществляющих производство товаров, оказание услуг по </w:t>
      </w:r>
      <w:proofErr w:type="spellStart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водо</w:t>
      </w:r>
      <w:proofErr w:type="spellEnd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-, тепл</w:t>
      </w:r>
      <w:proofErr w:type="gramStart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о-</w:t>
      </w:r>
      <w:proofErr w:type="gramEnd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, </w:t>
      </w:r>
      <w:proofErr w:type="spellStart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газо</w:t>
      </w:r>
      <w:proofErr w:type="spellEnd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 в отчетном периоде по </w:t>
      </w:r>
      <w:proofErr w:type="spellStart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Юстинскому</w:t>
      </w:r>
      <w:proofErr w:type="spellEnd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району составляет 66 процентов. Согласно прогнозному периоду показатель увеличится до 100 процентов.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Доля многоквартирных домов, расположенных на земельных участках, в отношении которых осуществлен государственный кадастровый учет за отчетный период составляет 100 процентов.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proofErr w:type="gramStart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по району составляет 0,52 процентов.</w:t>
      </w:r>
      <w:proofErr w:type="gramEnd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В прогнозном периоде по данному показателю планируется рост до 0,7 процентов.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 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</w:rPr>
        <w:t>Организация муниципального управления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 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За отчетный период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</w:t>
      </w:r>
      <w:proofErr w:type="spellStart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районного муниципального образования (без учета субвенций) составила 38,1 процента. </w:t>
      </w: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lastRenderedPageBreak/>
        <w:t>Наблюдается снижение показателя в сравнении  с аналогичным периодом прошлого года.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По оценке 2023 года данный показатель возрастет до 70,9 процентов за счет активизации мер по увеличению налоговых и неналоговых доходов в консолидированный бюджет </w:t>
      </w:r>
      <w:proofErr w:type="spellStart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районного муниципального образования.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Показатель «Доля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стоимости)» - не отражен, в виду отсутствия таких организаций.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Объем не завершенного в установленные сроки строительства, осуществляемого за счет средств бюджета муниципального района,  составил за отчетный период 6025,7 тыс. рублей и снизилось по сравнению с прошлым годом на 8255,6 тыс. рублей.  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 за 2020 год составляет 5,8 процента, к 2023 году этот показатель должен быть снижен до 0 процентов.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отчетном периоде составили 1811,5 рублей. По оценке к 2023 году  данный показатель составит 1400,0 рублей.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Среднегодовая численность постоянного населения за отчетный период составила 9694 человека. За отчетный период родилось 57 детей, умерло 104 человека. В прогнозном периоде 2021-2023 гг. численность населения увеличится с 9799 человек до 9737 человек. Незначительный рост численности происходит ввиду превышения смертности над рождаемостью и миграционным оттоком населения.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 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</w:rPr>
        <w:t> 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</w:rPr>
        <w:t> 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</w:rPr>
        <w:t> 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</w:rPr>
        <w:t>Энергосбережение и повышение энергетической эффективности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</w:rPr>
        <w:t> 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По показателям «Удельная величина потребления энергетических ресурсов в многоквартирных домах» в отчетном периоде: электроэнергия составила – 342,5 кВт/</w:t>
      </w:r>
      <w:proofErr w:type="gramStart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ч</w:t>
      </w:r>
      <w:proofErr w:type="gramEnd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на 1 проживающего, тепловая энергия – 0,0 Гкал на 1 кв. метр общей площади, холодна вода -10,3 куб. метров на 1 проживающего, природный газ- 341куб. метров на 1 проживающего. В 2017 году завершен полный переход на автономное отопление МКД п. </w:t>
      </w:r>
      <w:proofErr w:type="spellStart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Цаган</w:t>
      </w:r>
      <w:proofErr w:type="spellEnd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Аман.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lastRenderedPageBreak/>
        <w:t xml:space="preserve">Работа по снижению потребления энергетических ресурсов проводится ежегодно, при утверждении лимитов потребления коммунальных услуг бюджетными учреждениями, финансируемых из районного бюджета, рекомендовано руководителям учреждений обеспечить </w:t>
      </w:r>
      <w:proofErr w:type="gramStart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контроль за</w:t>
      </w:r>
      <w:proofErr w:type="gramEnd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экономным использованием лимитов и топливно-энергетических ресурсов.</w:t>
      </w:r>
    </w:p>
    <w:p w:rsidR="00C54445" w:rsidRPr="00C54445" w:rsidRDefault="00C54445" w:rsidP="00C54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По показателю «Удельная величина потребления энергетических ресурсов муниципальными бюджетными учреждениями» в отчетном периоде: электрическая энергия составила – 44,5 кВт/</w:t>
      </w:r>
      <w:proofErr w:type="gramStart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ч</w:t>
      </w:r>
      <w:proofErr w:type="gramEnd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на 1 человека населения. В 2017 году завершена работа по переводу на автономное отопление муниципальных, республиканских учреждений и многоквартирных домов п. </w:t>
      </w:r>
      <w:proofErr w:type="spellStart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>Цаган</w:t>
      </w:r>
      <w:proofErr w:type="spellEnd"/>
      <w:r w:rsidRPr="00C5444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Аман. Удельная величина потребления холодной воды и природного газа в отчетном периоде составили соответственно  0,051 куб. метров на 1 человека и 70,2 куб. метров на 1 человека.</w:t>
      </w:r>
    </w:p>
    <w:p w:rsidR="00DD0D0D" w:rsidRPr="00C54445" w:rsidRDefault="00DD0D0D">
      <w:pPr>
        <w:rPr>
          <w:rFonts w:ascii="Times New Roman" w:hAnsi="Times New Roman" w:cs="Times New Roman"/>
          <w:sz w:val="28"/>
          <w:szCs w:val="28"/>
        </w:rPr>
      </w:pPr>
    </w:p>
    <w:sectPr w:rsidR="00DD0D0D" w:rsidRPr="00C54445" w:rsidSect="00C54445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4445"/>
    <w:rsid w:val="00C54445"/>
    <w:rsid w:val="00DD0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44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2923</Words>
  <Characters>16662</Characters>
  <Application>Microsoft Office Word</Application>
  <DocSecurity>0</DocSecurity>
  <Lines>138</Lines>
  <Paragraphs>39</Paragraphs>
  <ScaleCrop>false</ScaleCrop>
  <Company>SPecialiST RePack</Company>
  <LinksUpToDate>false</LinksUpToDate>
  <CharactersWithSpaces>19546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2022-05-27T11:34:00Z</dcterms:created>
  <dcterms:modified xsi:type="dcterms:W3CDTF">2022-05-27T11:37:00Z</dcterms:modified>
</cp:coreProperties>
</file>